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08" w:rsidRPr="00E8589D" w:rsidRDefault="00DD5E08" w:rsidP="00DD5E08">
      <w:pPr>
        <w:tabs>
          <w:tab w:val="left" w:pos="7740"/>
        </w:tabs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食品供需双方质量保证协议书（甲</w:t>
      </w:r>
      <w:r w:rsidRPr="00E8589D">
        <w:rPr>
          <w:rFonts w:ascii="宋体" w:hAnsi="宋体" w:hint="eastAsia"/>
          <w:b/>
          <w:sz w:val="32"/>
          <w:szCs w:val="32"/>
        </w:rPr>
        <w:t>种）</w:t>
      </w:r>
    </w:p>
    <w:p w:rsidR="00DD5E08" w:rsidRPr="00E8589D" w:rsidRDefault="00DD5E08" w:rsidP="00DD5E08">
      <w:pPr>
        <w:spacing w:line="360" w:lineRule="auto"/>
        <w:rPr>
          <w:rFonts w:ascii="宋体" w:hAnsi="宋体" w:hint="eastAsia"/>
          <w:sz w:val="24"/>
        </w:rPr>
      </w:pPr>
    </w:p>
    <w:p w:rsidR="00DD5E08" w:rsidRPr="00E8589D" w:rsidRDefault="00DD5E08" w:rsidP="00DD5E08">
      <w:pPr>
        <w:spacing w:line="360" w:lineRule="auto"/>
        <w:rPr>
          <w:rFonts w:ascii="宋体" w:hAnsi="宋体" w:hint="eastAsia"/>
          <w:b/>
          <w:sz w:val="28"/>
        </w:rPr>
      </w:pPr>
      <w:r w:rsidRPr="00E8589D">
        <w:rPr>
          <w:rFonts w:ascii="宋体" w:hAnsi="宋体" w:hint="eastAsia"/>
          <w:b/>
          <w:sz w:val="28"/>
        </w:rPr>
        <w:t>甲方（供应方）：</w:t>
      </w:r>
    </w:p>
    <w:p w:rsidR="00DD5E08" w:rsidRPr="00E8589D" w:rsidRDefault="00DD5E08" w:rsidP="00DD5E08">
      <w:pPr>
        <w:spacing w:line="360" w:lineRule="auto"/>
        <w:rPr>
          <w:rFonts w:ascii="宋体" w:hAnsi="宋体" w:hint="eastAsia"/>
          <w:b/>
          <w:sz w:val="28"/>
        </w:rPr>
      </w:pPr>
      <w:r w:rsidRPr="00E8589D">
        <w:rPr>
          <w:rFonts w:ascii="宋体" w:hAnsi="宋体" w:hint="eastAsia"/>
          <w:b/>
          <w:sz w:val="28"/>
        </w:rPr>
        <w:t>乙方（采购方）：</w:t>
      </w:r>
      <w:r w:rsidR="00EB182B">
        <w:rPr>
          <w:rFonts w:ascii="宋体" w:hAnsi="宋体" w:hint="eastAsia"/>
          <w:b/>
          <w:sz w:val="28"/>
        </w:rPr>
        <w:t>上药控股有限公司</w:t>
      </w:r>
    </w:p>
    <w:p w:rsidR="00DD5E08" w:rsidRPr="00E8589D" w:rsidRDefault="00DD5E08" w:rsidP="00DD5E0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DD5E08" w:rsidRPr="00E8589D" w:rsidRDefault="00DD5E08" w:rsidP="00DD5E0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为严格执行《中华人民共和国产品质量法》、《食品安全法》、《食品安全法实施条例》、《关于加强食品等产品安全监督管理的特别规定》等相关法规的要求，保证食品（包括保健食品）的安全性，明确双方质量责任，经协商一致，签订质量保证协议如下：</w:t>
      </w:r>
    </w:p>
    <w:p w:rsidR="00DD5E08" w:rsidRPr="00EB2A32" w:rsidRDefault="00DD5E08" w:rsidP="00DD5E08">
      <w:pPr>
        <w:spacing w:line="360" w:lineRule="auto"/>
        <w:rPr>
          <w:rFonts w:ascii="宋体" w:hAnsi="宋体" w:hint="eastAsia"/>
          <w:b/>
          <w:sz w:val="24"/>
        </w:rPr>
      </w:pPr>
      <w:r w:rsidRPr="00EB2A32">
        <w:rPr>
          <w:rFonts w:ascii="宋体" w:hAnsi="宋体" w:hint="eastAsia"/>
          <w:b/>
          <w:sz w:val="24"/>
        </w:rPr>
        <w:t>第一条  甲方责任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第一款  甲方遵守国家关于食品的相关法规，向乙方提供</w:t>
      </w:r>
      <w:r>
        <w:rPr>
          <w:rFonts w:ascii="宋体" w:hAnsi="宋体" w:hint="eastAsia"/>
          <w:sz w:val="24"/>
        </w:rPr>
        <w:t>《全国工业产品生产许可证》或《食品流通许可证》及</w:t>
      </w:r>
      <w:r w:rsidRPr="00E8589D">
        <w:rPr>
          <w:rFonts w:ascii="宋体" w:hAnsi="宋体" w:hint="eastAsia"/>
          <w:sz w:val="24"/>
        </w:rPr>
        <w:t>《企业法人营业执照》</w:t>
      </w:r>
      <w:r>
        <w:rPr>
          <w:rFonts w:ascii="宋体" w:hAnsi="宋体" w:hint="eastAsia"/>
          <w:sz w:val="24"/>
        </w:rPr>
        <w:t>等</w:t>
      </w:r>
      <w:r w:rsidRPr="00E8589D">
        <w:rPr>
          <w:rFonts w:ascii="宋体" w:hAnsi="宋体" w:hint="eastAsia"/>
          <w:sz w:val="24"/>
        </w:rPr>
        <w:t>合法、有效的</w:t>
      </w:r>
      <w:r>
        <w:rPr>
          <w:rFonts w:ascii="宋体" w:hAnsi="宋体" w:hint="eastAsia"/>
          <w:sz w:val="24"/>
        </w:rPr>
        <w:t>企业资格证书。</w:t>
      </w:r>
      <w:r w:rsidRPr="00E8589D">
        <w:rPr>
          <w:rFonts w:ascii="宋体" w:hAnsi="宋体" w:hint="eastAsia"/>
          <w:sz w:val="24"/>
        </w:rPr>
        <w:t>（证照复印件加盖甲方原印章）。甲方业务人员出具法定代表人（或其授权人）签署的委托书，并严格按委托书限定的范围开展活动。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 xml:space="preserve">第二款  </w:t>
      </w:r>
      <w:r>
        <w:rPr>
          <w:rFonts w:ascii="宋体" w:hAnsi="宋体" w:hint="eastAsia"/>
          <w:sz w:val="24"/>
        </w:rPr>
        <w:t>在本协议有效期内，甲方《许可证》或《营业执照》所记载的内容发生变更或经办人发生变化等情况，须书面通知乙方，并在政府相关部门批复后重新向乙方提供以上所有证明文件。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第三款  甲方</w:t>
      </w:r>
      <w:r>
        <w:rPr>
          <w:rFonts w:ascii="宋体" w:hAnsi="宋体" w:hint="eastAsia"/>
          <w:sz w:val="24"/>
        </w:rPr>
        <w:t>向乙方</w:t>
      </w:r>
      <w:r w:rsidRPr="00E8589D">
        <w:rPr>
          <w:rFonts w:ascii="宋体" w:hAnsi="宋体" w:hint="eastAsia"/>
          <w:sz w:val="24"/>
        </w:rPr>
        <w:t>提供的食品是符合国家法定质量安全标准及相关要求的合格品，在保质期内，非人为因素产生的质量问题由甲方负责。同批号的食品检验报告书以随货同行的方式提供，整件包装应附产品合格证。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第四款  甲方销售的保健食品必须有</w:t>
      </w:r>
      <w:r w:rsidRPr="00E8589D">
        <w:rPr>
          <w:rFonts w:ascii="宋体" w:hAnsi="宋体"/>
          <w:sz w:val="24"/>
        </w:rPr>
        <w:t>《国产保健食品批准证书》</w:t>
      </w:r>
      <w:r w:rsidRPr="00E8589D">
        <w:rPr>
          <w:rFonts w:ascii="宋体" w:hAnsi="宋体" w:hint="eastAsia"/>
          <w:sz w:val="24"/>
        </w:rPr>
        <w:t>，进口保健食品必须有《进口保健食品批准证书》。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第五款  甲方提供的食品的包装、标签和说明书等均应符合《食品标识管理规定》和</w:t>
      </w:r>
      <w:r w:rsidRPr="00E8589D">
        <w:rPr>
          <w:rFonts w:ascii="宋体" w:hAnsi="宋体" w:hint="eastAsia"/>
          <w:sz w:val="24"/>
          <w:szCs w:val="30"/>
        </w:rPr>
        <w:t>《食品营养标签管理规范》</w:t>
      </w:r>
      <w:r>
        <w:rPr>
          <w:rFonts w:ascii="宋体" w:hAnsi="宋体" w:hint="eastAsia"/>
          <w:sz w:val="24"/>
          <w:szCs w:val="30"/>
        </w:rPr>
        <w:t>等</w:t>
      </w:r>
      <w:r w:rsidRPr="00E8589D">
        <w:rPr>
          <w:rFonts w:ascii="宋体" w:hAnsi="宋体" w:hint="eastAsia"/>
          <w:sz w:val="24"/>
        </w:rPr>
        <w:t>规定。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第六款  甲方承诺按照符合国家规定的储运条件为乙方配送食品，因</w:t>
      </w:r>
      <w:r>
        <w:rPr>
          <w:rFonts w:ascii="宋体" w:hAnsi="宋体" w:hint="eastAsia"/>
          <w:sz w:val="24"/>
        </w:rPr>
        <w:t>储存不当或</w:t>
      </w:r>
      <w:r w:rsidRPr="00E8589D">
        <w:rPr>
          <w:rFonts w:ascii="宋体" w:hAnsi="宋体" w:hint="eastAsia"/>
          <w:sz w:val="24"/>
        </w:rPr>
        <w:t>送货不符合要求造成的损失由甲方负责。</w:t>
      </w:r>
    </w:p>
    <w:p w:rsidR="00DD5E08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第七款  甲方接到乙方请求质量查询函（电）后，在7个工作日内给予答复（以函到日期为准），超过期限，由此造成的后果由甲方负责。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第八款  </w:t>
      </w:r>
      <w:r w:rsidRPr="00B23158">
        <w:rPr>
          <w:rFonts w:ascii="宋体" w:hAnsi="宋体" w:hint="eastAsia"/>
          <w:sz w:val="24"/>
        </w:rPr>
        <w:t>甲方向乙方销售</w:t>
      </w:r>
      <w:r>
        <w:rPr>
          <w:rFonts w:ascii="宋体" w:hAnsi="宋体" w:hint="eastAsia"/>
          <w:sz w:val="24"/>
        </w:rPr>
        <w:t>食品</w:t>
      </w:r>
      <w:r w:rsidRPr="00B23158">
        <w:rPr>
          <w:rFonts w:ascii="宋体" w:hAnsi="宋体" w:hint="eastAsia"/>
          <w:sz w:val="24"/>
        </w:rPr>
        <w:t>时，应当按照国家规定开具符合要求的合法票据。</w:t>
      </w:r>
    </w:p>
    <w:p w:rsidR="00DD5E08" w:rsidRPr="00EB2A32" w:rsidRDefault="00DD5E08" w:rsidP="00DD5E08">
      <w:pPr>
        <w:spacing w:line="360" w:lineRule="auto"/>
        <w:rPr>
          <w:rFonts w:ascii="宋体" w:hAnsi="宋体" w:hint="eastAsia"/>
          <w:b/>
          <w:sz w:val="24"/>
        </w:rPr>
      </w:pPr>
      <w:r w:rsidRPr="00EB2A32">
        <w:rPr>
          <w:rFonts w:ascii="宋体" w:hAnsi="宋体" w:hint="eastAsia"/>
          <w:b/>
          <w:sz w:val="24"/>
        </w:rPr>
        <w:t>第二条  乙方责任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第一款  乙方作为依法经营（使用）食品的单位，向甲方提供合法、有效的《食品流通许可</w:t>
      </w:r>
      <w:r w:rsidRPr="00E8589D">
        <w:rPr>
          <w:rFonts w:ascii="宋体" w:hAnsi="宋体" w:hint="eastAsia"/>
          <w:sz w:val="24"/>
        </w:rPr>
        <w:lastRenderedPageBreak/>
        <w:t>证》、《企业法人营业执照》（证照复印件加盖乙方原印章）。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 xml:space="preserve">第二款  </w:t>
      </w:r>
      <w:r>
        <w:rPr>
          <w:rFonts w:ascii="宋体" w:hAnsi="宋体" w:hint="eastAsia"/>
          <w:sz w:val="24"/>
        </w:rPr>
        <w:t>乙方收到甲方发运的食品时，</w:t>
      </w:r>
      <w:r w:rsidRPr="00E8589D">
        <w:rPr>
          <w:rFonts w:ascii="宋体" w:hAnsi="宋体" w:hint="eastAsia"/>
          <w:sz w:val="24"/>
        </w:rPr>
        <w:t>若在验收中发现货物破损、包装污染、外观质量等问题，应在收到食品（以货到日期为准）后一定日期内（本市为3日，市外为15日）通知甲方处理。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第三款  乙方在经营</w:t>
      </w:r>
      <w:r>
        <w:rPr>
          <w:rFonts w:ascii="宋体" w:hAnsi="宋体" w:hint="eastAsia"/>
          <w:sz w:val="24"/>
        </w:rPr>
        <w:t>或使用</w:t>
      </w:r>
      <w:r w:rsidRPr="00E8589D">
        <w:rPr>
          <w:rFonts w:ascii="宋体" w:hAnsi="宋体" w:hint="eastAsia"/>
          <w:sz w:val="24"/>
        </w:rPr>
        <w:t>甲方提供的产品时产生质量疑问，应及时与甲方联系，当双方有分歧时，以法定部门出具的</w:t>
      </w:r>
      <w:r>
        <w:rPr>
          <w:rFonts w:ascii="宋体" w:hAnsi="宋体" w:hint="eastAsia"/>
          <w:sz w:val="24"/>
        </w:rPr>
        <w:t>食品</w:t>
      </w:r>
      <w:r w:rsidRPr="00E8589D">
        <w:rPr>
          <w:rFonts w:ascii="宋体" w:hAnsi="宋体" w:hint="eastAsia"/>
          <w:sz w:val="24"/>
        </w:rPr>
        <w:t>质量检验报告为准。乙方在接到食品检验报告的10日内通知甲方，并将检验报告送达甲方处理。逾期造成的后果由乙方负责。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四</w:t>
      </w:r>
      <w:r w:rsidRPr="00E8589D">
        <w:rPr>
          <w:rFonts w:ascii="宋体" w:hAnsi="宋体" w:hint="eastAsia"/>
          <w:sz w:val="24"/>
        </w:rPr>
        <w:t>款  乙方在经营</w:t>
      </w:r>
      <w:r>
        <w:rPr>
          <w:rFonts w:ascii="宋体" w:hAnsi="宋体" w:hint="eastAsia"/>
          <w:sz w:val="24"/>
        </w:rPr>
        <w:t>或使用</w:t>
      </w:r>
      <w:r w:rsidRPr="00E8589D">
        <w:rPr>
          <w:rFonts w:ascii="宋体" w:hAnsi="宋体" w:hint="eastAsia"/>
          <w:sz w:val="24"/>
        </w:rPr>
        <w:t>甲方提供的食品中发生质量问题，应提供详细、确定的质量信息，并积极配合甲方做好调查取证工作和善后处理工作。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五</w:t>
      </w:r>
      <w:r w:rsidRPr="00E8589D">
        <w:rPr>
          <w:rFonts w:ascii="宋体" w:hAnsi="宋体" w:hint="eastAsia"/>
          <w:sz w:val="24"/>
        </w:rPr>
        <w:t>款  乙方承诺为甲方供应的食品提供符合国家规定的产品储存条件，由于储存不当造成的损失由乙方负责。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</w:t>
      </w:r>
      <w:r>
        <w:rPr>
          <w:rFonts w:ascii="宋体" w:hAnsi="宋体" w:hint="eastAsia"/>
          <w:sz w:val="24"/>
        </w:rPr>
        <w:t>六</w:t>
      </w:r>
      <w:r w:rsidRPr="00E8589D">
        <w:rPr>
          <w:rFonts w:ascii="宋体" w:hAnsi="宋体" w:hint="eastAsia"/>
          <w:sz w:val="24"/>
        </w:rPr>
        <w:t xml:space="preserve">款  乙方承诺对防冻、防热品种的储运进行季节控制。 </w:t>
      </w:r>
    </w:p>
    <w:p w:rsidR="00DD5E08" w:rsidRPr="00EB2A32" w:rsidRDefault="00DD5E08" w:rsidP="00DD5E08">
      <w:pPr>
        <w:spacing w:line="360" w:lineRule="auto"/>
        <w:rPr>
          <w:rFonts w:ascii="宋体" w:hAnsi="宋体" w:hint="eastAsia"/>
          <w:b/>
          <w:sz w:val="24"/>
        </w:rPr>
      </w:pPr>
      <w:r w:rsidRPr="00EB2A32">
        <w:rPr>
          <w:rFonts w:ascii="宋体" w:hAnsi="宋体" w:hint="eastAsia"/>
          <w:b/>
          <w:sz w:val="24"/>
        </w:rPr>
        <w:t>第三条  双方共同责任及协议有效期</w:t>
      </w:r>
    </w:p>
    <w:p w:rsidR="00DD5E08" w:rsidRDefault="00DD5E08" w:rsidP="00DD5E08">
      <w:pPr>
        <w:numPr>
          <w:ilvl w:val="0"/>
          <w:numId w:val="11"/>
        </w:numPr>
        <w:spacing w:line="360" w:lineRule="auto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甲、乙双方应共同协作搞好质量管理工作。双方各自履行自己的责任，一方发生违约行为，另一方可以通过法律途径追究违约方的民事赔偿责任。</w:t>
      </w:r>
    </w:p>
    <w:p w:rsidR="00DD5E08" w:rsidRPr="00E8589D" w:rsidRDefault="00DD5E08" w:rsidP="00DD5E08">
      <w:pPr>
        <w:numPr>
          <w:ilvl w:val="0"/>
          <w:numId w:val="11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双方相互承诺和保证各自提供的企业资质和产品资质的文件、资料真实有效，并承担失真、虚假陈述的责任。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第三</w:t>
      </w:r>
      <w:r w:rsidRPr="00E8589D">
        <w:rPr>
          <w:rFonts w:ascii="宋体" w:hAnsi="宋体" w:hint="eastAsia"/>
          <w:sz w:val="24"/>
        </w:rPr>
        <w:t>款  上述各条款中未尽事项，由双方协商约定。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第四</w:t>
      </w:r>
      <w:r w:rsidRPr="00E8589D">
        <w:rPr>
          <w:rFonts w:ascii="宋体" w:hAnsi="宋体" w:hint="eastAsia"/>
          <w:sz w:val="24"/>
        </w:rPr>
        <w:t>款  本合同已由甲、乙双方充分协商，对本合同项下的全部条文的含义均已明确。</w:t>
      </w:r>
    </w:p>
    <w:p w:rsidR="00DD5E08" w:rsidRPr="00E8589D" w:rsidRDefault="00DD5E08" w:rsidP="00DD5E08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第</w:t>
      </w:r>
      <w:r w:rsidR="005F4126">
        <w:rPr>
          <w:rFonts w:ascii="宋体" w:hAnsi="宋体" w:hint="eastAsia"/>
          <w:sz w:val="24"/>
        </w:rPr>
        <w:t>五款</w:t>
      </w:r>
      <w:r w:rsidRPr="00E8589D">
        <w:rPr>
          <w:rFonts w:ascii="宋体" w:hAnsi="宋体" w:hint="eastAsia"/>
          <w:sz w:val="24"/>
        </w:rPr>
        <w:t xml:space="preserve">  本协议经过双方签字或盖章之日起即告生效，</w:t>
      </w:r>
      <w:r>
        <w:rPr>
          <w:rFonts w:ascii="宋体" w:hAnsi="宋体" w:hint="eastAsia"/>
          <w:sz w:val="24"/>
        </w:rPr>
        <w:t>在双方业务存续期内一直有效。如</w:t>
      </w:r>
      <w:r w:rsidRPr="00E8589D">
        <w:rPr>
          <w:rFonts w:ascii="宋体" w:hAnsi="宋体" w:hint="eastAsia"/>
          <w:sz w:val="24"/>
        </w:rPr>
        <w:t>有效期</w:t>
      </w:r>
      <w:r>
        <w:rPr>
          <w:rFonts w:ascii="宋体" w:hAnsi="宋体" w:hint="eastAsia"/>
          <w:sz w:val="24"/>
        </w:rPr>
        <w:t>法律法规发生变化则重新签订协议。</w:t>
      </w:r>
      <w:r w:rsidRPr="00E8589D">
        <w:rPr>
          <w:rFonts w:ascii="宋体" w:hAnsi="宋体" w:hint="eastAsia"/>
          <w:sz w:val="24"/>
        </w:rPr>
        <w:t>本协议一式两份，签约双方各执一份。</w:t>
      </w:r>
    </w:p>
    <w:p w:rsidR="00DD5E08" w:rsidRPr="00E8589D" w:rsidRDefault="00DD5E08" w:rsidP="00DD5E08">
      <w:pPr>
        <w:spacing w:line="360" w:lineRule="auto"/>
        <w:rPr>
          <w:rFonts w:ascii="宋体" w:hAnsi="宋体" w:hint="eastAsia"/>
          <w:sz w:val="24"/>
        </w:rPr>
      </w:pPr>
    </w:p>
    <w:p w:rsidR="00DD5E08" w:rsidRPr="00E8589D" w:rsidRDefault="00DD5E08" w:rsidP="00DD5E08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E8589D">
        <w:rPr>
          <w:rFonts w:ascii="宋体" w:hAnsi="宋体" w:hint="eastAsia"/>
          <w:sz w:val="24"/>
        </w:rPr>
        <w:t>甲方（供应方）：                              乙方（采购方）：</w:t>
      </w:r>
      <w:r w:rsidR="005F4126">
        <w:rPr>
          <w:rFonts w:ascii="宋体" w:hAnsi="宋体" w:hint="eastAsia"/>
          <w:sz w:val="24"/>
        </w:rPr>
        <w:t>上药控股有限公司</w:t>
      </w:r>
    </w:p>
    <w:p w:rsidR="00E8589D" w:rsidRPr="00E8589D" w:rsidRDefault="005F4126" w:rsidP="00DD5E08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 w:rsidR="00DD5E08" w:rsidRPr="00E8589D">
        <w:rPr>
          <w:rFonts w:ascii="宋体" w:hAnsi="宋体" w:hint="eastAsia"/>
          <w:sz w:val="24"/>
        </w:rPr>
        <w:t xml:space="preserve">20   年   月   日                        </w:t>
      </w:r>
      <w:r>
        <w:rPr>
          <w:rFonts w:ascii="宋体" w:hAnsi="宋体" w:hint="eastAsia"/>
          <w:sz w:val="24"/>
        </w:rPr>
        <w:t xml:space="preserve">       </w:t>
      </w:r>
      <w:r w:rsidR="00DD5E08" w:rsidRPr="00E8589D">
        <w:rPr>
          <w:rFonts w:ascii="宋体" w:hAnsi="宋体" w:hint="eastAsia"/>
          <w:sz w:val="24"/>
        </w:rPr>
        <w:t>20   年   月   日</w:t>
      </w:r>
    </w:p>
    <w:p w:rsidR="00E8589D" w:rsidRPr="00E8589D" w:rsidRDefault="00E8589D" w:rsidP="00E8589D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E8589D" w:rsidRPr="00E8589D" w:rsidRDefault="00E8589D" w:rsidP="00E8589D">
      <w:pPr>
        <w:spacing w:line="360" w:lineRule="auto"/>
        <w:ind w:firstLine="480"/>
        <w:rPr>
          <w:rFonts w:ascii="宋体" w:hAnsi="宋体" w:hint="eastAsia"/>
          <w:sz w:val="24"/>
        </w:rPr>
      </w:pPr>
    </w:p>
    <w:sectPr w:rsidR="00E8589D" w:rsidRPr="00E8589D" w:rsidSect="005F412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8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96" w:rsidRDefault="00976096">
      <w:r>
        <w:separator/>
      </w:r>
    </w:p>
  </w:endnote>
  <w:endnote w:type="continuationSeparator" w:id="1">
    <w:p w:rsidR="00976096" w:rsidRDefault="0097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9D" w:rsidRDefault="00E858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89D" w:rsidRDefault="00E858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26" w:rsidRDefault="005F4126">
    <w:pPr>
      <w:pStyle w:val="a4"/>
      <w:jc w:val="center"/>
    </w:pPr>
    <w:fldSimple w:instr="PAGE   \* MERGEFORMAT">
      <w:r w:rsidR="00F8613F" w:rsidRPr="00F8613F">
        <w:rPr>
          <w:noProof/>
          <w:lang w:val="zh-CN" w:eastAsia="zh-CN"/>
        </w:rPr>
        <w:t>188</w:t>
      </w:r>
    </w:fldSimple>
  </w:p>
  <w:p w:rsidR="00BC1E13" w:rsidRDefault="00BC1E13" w:rsidP="007170B3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96" w:rsidRDefault="00976096">
      <w:r>
        <w:separator/>
      </w:r>
    </w:p>
  </w:footnote>
  <w:footnote w:type="continuationSeparator" w:id="1">
    <w:p w:rsidR="00976096" w:rsidRDefault="0097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39" w:rsidRDefault="00CC2339" w:rsidP="002E0CF3">
    <w:pPr>
      <w:pStyle w:val="a6"/>
      <w:pBdr>
        <w:bottom w:val="none" w:sz="0" w:space="0" w:color="auto"/>
      </w:pBdr>
    </w:pPr>
    <w:r>
      <w:rPr>
        <w:rFonts w:hint="eastAsia"/>
      </w:rPr>
      <w:t xml:space="preserve">                                                                        </w:t>
    </w:r>
    <w:r w:rsidRPr="00CC2339">
      <w:t>SHAPHAR-QD</w:t>
    </w:r>
    <w:r w:rsidR="005F4126">
      <w:rPr>
        <w:rFonts w:hint="eastAsia"/>
        <w:lang w:eastAsia="zh-CN"/>
      </w:rPr>
      <w:t>7</w:t>
    </w:r>
    <w:r w:rsidR="00A74D70">
      <w:rPr>
        <w:rFonts w:hint="eastAsia"/>
        <w:lang w:eastAsia="zh-CN"/>
      </w:rPr>
      <w:t>0</w:t>
    </w:r>
    <w:r w:rsidRPr="00CC2339">
      <w:t>-R</w:t>
    </w:r>
    <w:r w:rsidR="00F538C4">
      <w:rPr>
        <w:rFonts w:hint="eastAs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A"/>
    <w:multiLevelType w:val="singleLevel"/>
    <w:tmpl w:val="8CA28AA6"/>
    <w:lvl w:ilvl="0">
      <w:start w:val="1"/>
      <w:numFmt w:val="japaneseCounting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>
    <w:nsid w:val="09F074BE"/>
    <w:multiLevelType w:val="singleLevel"/>
    <w:tmpl w:val="FE2435A4"/>
    <w:lvl w:ilvl="0">
      <w:start w:val="1"/>
      <w:numFmt w:val="japaneseCounting"/>
      <w:lvlText w:val="第%1款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09FA7621"/>
    <w:multiLevelType w:val="singleLevel"/>
    <w:tmpl w:val="58DA301A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>
    <w:nsid w:val="0A3E2E36"/>
    <w:multiLevelType w:val="singleLevel"/>
    <w:tmpl w:val="172A0A30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4">
    <w:nsid w:val="1C9D5EA6"/>
    <w:multiLevelType w:val="singleLevel"/>
    <w:tmpl w:val="83F8348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5">
    <w:nsid w:val="24BC713E"/>
    <w:multiLevelType w:val="hybridMultilevel"/>
    <w:tmpl w:val="5A1E99F0"/>
    <w:lvl w:ilvl="0" w:tplc="89BEBF82">
      <w:start w:val="1"/>
      <w:numFmt w:val="japaneseCounting"/>
      <w:lvlText w:val="第%1款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A17D41"/>
    <w:multiLevelType w:val="singleLevel"/>
    <w:tmpl w:val="D750CEE6"/>
    <w:lvl w:ilvl="0">
      <w:start w:val="1"/>
      <w:numFmt w:val="japaneseCounting"/>
      <w:lvlText w:val="第%1款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7">
    <w:nsid w:val="334B14B8"/>
    <w:multiLevelType w:val="singleLevel"/>
    <w:tmpl w:val="2512AAC0"/>
    <w:lvl w:ilvl="0">
      <w:start w:val="1"/>
      <w:numFmt w:val="japaneseCounting"/>
      <w:lvlText w:val="第%1款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8">
    <w:nsid w:val="3D873055"/>
    <w:multiLevelType w:val="singleLevel"/>
    <w:tmpl w:val="B880BB60"/>
    <w:lvl w:ilvl="0">
      <w:start w:val="1"/>
      <w:numFmt w:val="japaneseCounting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513C2FB7"/>
    <w:multiLevelType w:val="singleLevel"/>
    <w:tmpl w:val="8BE67E7A"/>
    <w:lvl w:ilvl="0">
      <w:start w:val="1"/>
      <w:numFmt w:val="japaneseCounting"/>
      <w:lvlText w:val="第%1款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0">
    <w:nsid w:val="790C1123"/>
    <w:multiLevelType w:val="singleLevel"/>
    <w:tmpl w:val="5DCA8D38"/>
    <w:lvl w:ilvl="0">
      <w:start w:val="1"/>
      <w:numFmt w:val="decimal"/>
      <w:lvlText w:val="%1．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8589D"/>
    <w:rsid w:val="000C3ABF"/>
    <w:rsid w:val="000F445E"/>
    <w:rsid w:val="001242CF"/>
    <w:rsid w:val="0015041B"/>
    <w:rsid w:val="0016239C"/>
    <w:rsid w:val="001875DF"/>
    <w:rsid w:val="001A72B3"/>
    <w:rsid w:val="001C6E07"/>
    <w:rsid w:val="00244B08"/>
    <w:rsid w:val="00263AE9"/>
    <w:rsid w:val="002E0CF3"/>
    <w:rsid w:val="00354C90"/>
    <w:rsid w:val="00355396"/>
    <w:rsid w:val="0035595E"/>
    <w:rsid w:val="003B3DB0"/>
    <w:rsid w:val="003F4272"/>
    <w:rsid w:val="0047095A"/>
    <w:rsid w:val="004D37C7"/>
    <w:rsid w:val="00570B54"/>
    <w:rsid w:val="005819C0"/>
    <w:rsid w:val="005A6BF8"/>
    <w:rsid w:val="005F4126"/>
    <w:rsid w:val="0063680C"/>
    <w:rsid w:val="00664881"/>
    <w:rsid w:val="00704C56"/>
    <w:rsid w:val="007170B3"/>
    <w:rsid w:val="00796631"/>
    <w:rsid w:val="007D05C7"/>
    <w:rsid w:val="007D5791"/>
    <w:rsid w:val="008523AC"/>
    <w:rsid w:val="008717BD"/>
    <w:rsid w:val="00976096"/>
    <w:rsid w:val="009B1974"/>
    <w:rsid w:val="009C6CB2"/>
    <w:rsid w:val="009C6D78"/>
    <w:rsid w:val="00A74D70"/>
    <w:rsid w:val="00BC1E13"/>
    <w:rsid w:val="00C63ECD"/>
    <w:rsid w:val="00C65BF5"/>
    <w:rsid w:val="00CC2339"/>
    <w:rsid w:val="00D065A5"/>
    <w:rsid w:val="00D84D28"/>
    <w:rsid w:val="00DA3E14"/>
    <w:rsid w:val="00DD5E08"/>
    <w:rsid w:val="00E8589D"/>
    <w:rsid w:val="00EB182B"/>
    <w:rsid w:val="00EB2A32"/>
    <w:rsid w:val="00EC6C03"/>
    <w:rsid w:val="00F538C4"/>
    <w:rsid w:val="00F8613F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rsid w:val="0016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16239C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BC1E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供需双方质量保证协议（乙种）</vt:lpstr>
    </vt:vector>
  </TitlesOfParts>
  <Company>Sky123.Org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供需双方质量保证协议（乙种）</dc:title>
  <dc:creator>user</dc:creator>
  <cp:lastModifiedBy>张昉</cp:lastModifiedBy>
  <cp:revision>2</cp:revision>
  <cp:lastPrinted>2012-08-21T10:07:00Z</cp:lastPrinted>
  <dcterms:created xsi:type="dcterms:W3CDTF">2017-06-12T05:33:00Z</dcterms:created>
  <dcterms:modified xsi:type="dcterms:W3CDTF">2017-06-12T05:33:00Z</dcterms:modified>
</cp:coreProperties>
</file>